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E79" w:rsidRDefault="002F2AE7" w:rsidP="00C72992">
      <w:pPr>
        <w:tabs>
          <w:tab w:val="center" w:pos="3296"/>
        </w:tabs>
        <w:spacing w:after="0" w:line="240" w:lineRule="auto"/>
        <w:ind w:left="0" w:right="0" w:firstLine="709"/>
        <w:jc w:val="left"/>
        <w:rPr>
          <w:b/>
        </w:rPr>
      </w:pPr>
      <w:r w:rsidRPr="00C72992">
        <w:rPr>
          <w:rFonts w:eastAsia="Arial"/>
        </w:rPr>
        <w:t xml:space="preserve"> </w:t>
      </w:r>
      <w:r w:rsidR="00C72992">
        <w:rPr>
          <w:b/>
        </w:rPr>
        <w:t>3</w:t>
      </w:r>
      <w:r w:rsidRPr="00C72992">
        <w:rPr>
          <w:b/>
        </w:rPr>
        <w:t xml:space="preserve"> Кривошипно-шатунный механизм</w:t>
      </w:r>
    </w:p>
    <w:p w:rsidR="00C72992" w:rsidRPr="00C72992" w:rsidRDefault="00C72992" w:rsidP="00C72992">
      <w:pPr>
        <w:tabs>
          <w:tab w:val="center" w:pos="3296"/>
        </w:tabs>
        <w:spacing w:after="0" w:line="240" w:lineRule="auto"/>
        <w:ind w:left="0" w:right="0" w:firstLine="709"/>
        <w:jc w:val="left"/>
      </w:pPr>
    </w:p>
    <w:p w:rsidR="00045E79" w:rsidRPr="00C72992" w:rsidRDefault="002F2AE7" w:rsidP="00C72992">
      <w:pPr>
        <w:pStyle w:val="1"/>
        <w:tabs>
          <w:tab w:val="center" w:pos="4448"/>
        </w:tabs>
        <w:spacing w:after="0" w:line="240" w:lineRule="auto"/>
        <w:ind w:left="0" w:firstLine="709"/>
        <w:jc w:val="left"/>
      </w:pPr>
      <w:r w:rsidRPr="00C72992">
        <w:rPr>
          <w:rFonts w:eastAsia="Arial"/>
          <w:b w:val="0"/>
        </w:rPr>
        <w:t xml:space="preserve"> </w:t>
      </w:r>
      <w:r w:rsidRPr="00C72992">
        <w:rPr>
          <w:rFonts w:eastAsia="Arial"/>
          <w:b w:val="0"/>
        </w:rPr>
        <w:tab/>
      </w:r>
      <w:r w:rsidR="00C72992">
        <w:t>3</w:t>
      </w:r>
      <w:r w:rsidRPr="00C72992">
        <w:t>.1 Неподвижные детали кривошипно-шатунного механизма</w:t>
      </w:r>
    </w:p>
    <w:p w:rsidR="00C72992" w:rsidRDefault="002F2AE7" w:rsidP="00C72992">
      <w:pPr>
        <w:spacing w:after="0" w:line="240" w:lineRule="auto"/>
        <w:ind w:left="0" w:right="0" w:firstLine="709"/>
      </w:pPr>
      <w:r w:rsidRPr="00C72992">
        <w:rPr>
          <w:rFonts w:eastAsia="Arial"/>
        </w:rPr>
        <w:t xml:space="preserve"> </w:t>
      </w:r>
      <w:proofErr w:type="spellStart"/>
      <w:r w:rsidRPr="00C72992">
        <w:t>Кривошипно</w:t>
      </w:r>
      <w:proofErr w:type="spellEnd"/>
      <w:r w:rsidRPr="00C72992">
        <w:rPr>
          <w:b/>
        </w:rPr>
        <w:t xml:space="preserve"> </w:t>
      </w:r>
      <w:r w:rsidRPr="00C72992">
        <w:t xml:space="preserve">-шатунный механизм (КШМ) – основной рабочий </w:t>
      </w:r>
      <w:proofErr w:type="spellStart"/>
      <w:r w:rsidRPr="00C72992">
        <w:t>ме</w:t>
      </w:r>
      <w:proofErr w:type="spellEnd"/>
      <w:r w:rsidRPr="00C72992">
        <w:rPr>
          <w:rFonts w:eastAsia="Arial"/>
        </w:rPr>
        <w:t xml:space="preserve"> </w:t>
      </w:r>
      <w:proofErr w:type="spellStart"/>
      <w:r w:rsidRPr="00C72992">
        <w:t>ханизм</w:t>
      </w:r>
      <w:proofErr w:type="spellEnd"/>
      <w:r w:rsidRPr="00C72992">
        <w:t xml:space="preserve"> поршневого </w:t>
      </w:r>
      <w:r w:rsidRPr="00C72992">
        <w:rPr>
          <w:b/>
        </w:rPr>
        <w:t xml:space="preserve"> </w:t>
      </w:r>
      <w:r w:rsidRPr="00C72992">
        <w:t xml:space="preserve">двигателя. Он участвует в совершении </w:t>
      </w:r>
      <w:r w:rsidRPr="00C72992">
        <w:rPr>
          <w:b/>
        </w:rPr>
        <w:t xml:space="preserve"> </w:t>
      </w:r>
      <w:r w:rsidRPr="00C72992">
        <w:t xml:space="preserve">рабочего </w:t>
      </w:r>
      <w:r w:rsidRPr="00C72992">
        <w:rPr>
          <w:rFonts w:eastAsia="Arial"/>
        </w:rPr>
        <w:t xml:space="preserve"> </w:t>
      </w:r>
      <w:r w:rsidRPr="00C72992">
        <w:t xml:space="preserve">цикла </w:t>
      </w:r>
      <w:r w:rsidRPr="00C72992">
        <w:rPr>
          <w:b/>
        </w:rPr>
        <w:t xml:space="preserve"> </w:t>
      </w:r>
      <w:r w:rsidRPr="00C72992">
        <w:t xml:space="preserve">двигателя и преобразует возвратно-поступательное движение </w:t>
      </w:r>
      <w:r w:rsidRPr="00C72992">
        <w:rPr>
          <w:rFonts w:eastAsia="Arial"/>
        </w:rPr>
        <w:t xml:space="preserve"> </w:t>
      </w:r>
      <w:r w:rsidRPr="00C72992">
        <w:t>поршня, воспринимающего силу давления расширяющихся газов, во</w:t>
      </w:r>
      <w:r w:rsidRPr="00C72992">
        <w:rPr>
          <w:b/>
        </w:rPr>
        <w:t xml:space="preserve"> </w:t>
      </w:r>
      <w:r w:rsidRPr="00C72992">
        <w:t xml:space="preserve">вращательное движение коленчатого вала.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Элементы КШМ условно можно разделить на две группы: </w:t>
      </w:r>
      <w:proofErr w:type="spellStart"/>
      <w:r w:rsidRPr="00C72992">
        <w:t>непод</w:t>
      </w:r>
      <w:proofErr w:type="spellEnd"/>
      <w:r w:rsidRPr="00C72992">
        <w:t xml:space="preserve">- </w:t>
      </w:r>
      <w:proofErr w:type="spellStart"/>
      <w:r w:rsidRPr="00C72992">
        <w:t>вижные</w:t>
      </w:r>
      <w:proofErr w:type="spellEnd"/>
      <w:r w:rsidRPr="00C72992">
        <w:t xml:space="preserve"> </w:t>
      </w:r>
      <w:r w:rsidRPr="00C72992">
        <w:rPr>
          <w:rFonts w:eastAsia="Arial"/>
        </w:rPr>
        <w:t xml:space="preserve"> </w:t>
      </w:r>
      <w:r w:rsidRPr="00C72992">
        <w:t xml:space="preserve">и подвижные. К неподвижным элементам механизма </w:t>
      </w:r>
      <w:proofErr w:type="spellStart"/>
      <w:r w:rsidRPr="00C72992">
        <w:t>относятсяцилиндры</w:t>
      </w:r>
      <w:proofErr w:type="spellEnd"/>
      <w:r w:rsidRPr="00C72992">
        <w:t xml:space="preserve">, </w:t>
      </w:r>
      <w:r w:rsidRPr="00C72992">
        <w:rPr>
          <w:rFonts w:eastAsia="Arial"/>
        </w:rPr>
        <w:t xml:space="preserve"> </w:t>
      </w:r>
      <w:r w:rsidRPr="00C72992">
        <w:t xml:space="preserve">картер с подшипниками коленчатого вала и связующие дета-ли. </w:t>
      </w:r>
      <w:proofErr w:type="spellStart"/>
      <w:r w:rsidRPr="00C72992">
        <w:t>Вс</w:t>
      </w:r>
      <w:proofErr w:type="spellEnd"/>
      <w:r w:rsidR="00C72992">
        <w:t xml:space="preserve"> ё</w:t>
      </w:r>
      <w:r w:rsidRPr="00C72992">
        <w:t xml:space="preserve"> это  </w:t>
      </w:r>
      <w:r w:rsidRPr="00C72992">
        <w:rPr>
          <w:rFonts w:eastAsia="Arial"/>
        </w:rPr>
        <w:t xml:space="preserve"> </w:t>
      </w:r>
      <w:r w:rsidRPr="00C72992">
        <w:t xml:space="preserve">образует корпус двигателя. Блок -картер служит остовом </w:t>
      </w:r>
      <w:proofErr w:type="spellStart"/>
      <w:r w:rsidRPr="00C72992">
        <w:t>дви-гателя</w:t>
      </w:r>
      <w:proofErr w:type="spellEnd"/>
      <w:r w:rsidRPr="00C72992">
        <w:t xml:space="preserve">. Он </w:t>
      </w:r>
      <w:r w:rsidRPr="00C72992">
        <w:rPr>
          <w:rFonts w:eastAsia="Arial"/>
        </w:rPr>
        <w:t xml:space="preserve"> </w:t>
      </w:r>
      <w:r w:rsidRPr="00C72992">
        <w:t xml:space="preserve">представляет  собой сплошную отливку коробчатой </w:t>
      </w:r>
      <w:proofErr w:type="spellStart"/>
      <w:r w:rsidRPr="00C72992">
        <w:t>формы,верхняя</w:t>
      </w:r>
      <w:proofErr w:type="spellEnd"/>
      <w:r w:rsidRPr="00C72992">
        <w:t xml:space="preserve"> часть </w:t>
      </w:r>
      <w:r w:rsidRPr="00C72992">
        <w:rPr>
          <w:rFonts w:eastAsia="Arial"/>
        </w:rPr>
        <w:t xml:space="preserve"> </w:t>
      </w:r>
      <w:r w:rsidRPr="00C72992">
        <w:t xml:space="preserve">которой образует  блок цилиндров, а нижняя – </w:t>
      </w:r>
      <w:proofErr w:type="spellStart"/>
      <w:r w:rsidRPr="00C72992">
        <w:t>верхнююполовину</w:t>
      </w:r>
      <w:proofErr w:type="spellEnd"/>
      <w:r w:rsidRPr="00C72992">
        <w:t xml:space="preserve"> картера. </w:t>
      </w:r>
      <w:r w:rsidRPr="00C72992">
        <w:rPr>
          <w:rFonts w:eastAsia="Arial"/>
        </w:rPr>
        <w:t xml:space="preserve"> </w:t>
      </w:r>
      <w:r w:rsidRPr="00C72992">
        <w:t>Увеличение ж</w:t>
      </w:r>
      <w:r w:rsidR="00C72992">
        <w:t xml:space="preserve"> </w:t>
      </w:r>
      <w:proofErr w:type="spellStart"/>
      <w:r w:rsidR="00C72992">
        <w:t>ё</w:t>
      </w:r>
      <w:r w:rsidRPr="00C72992">
        <w:t>сткости</w:t>
      </w:r>
      <w:proofErr w:type="spellEnd"/>
      <w:r w:rsidRPr="00C72992">
        <w:t xml:space="preserve"> в </w:t>
      </w:r>
      <w:proofErr w:type="spellStart"/>
      <w:r w:rsidRPr="00C72992">
        <w:t>блок-картере</w:t>
      </w:r>
      <w:proofErr w:type="spellEnd"/>
      <w:r w:rsidRPr="00C72992">
        <w:t xml:space="preserve"> </w:t>
      </w:r>
      <w:proofErr w:type="spellStart"/>
      <w:r w:rsidRPr="00C72992">
        <w:t>достигаетсяиспользованием</w:t>
      </w:r>
      <w:proofErr w:type="spellEnd"/>
      <w:r w:rsidRPr="00C72992">
        <w:t xml:space="preserve"> </w:t>
      </w:r>
      <w:r w:rsidRPr="00C72992">
        <w:rPr>
          <w:rFonts w:eastAsia="Arial"/>
        </w:rPr>
        <w:t xml:space="preserve"> </w:t>
      </w:r>
      <w:r w:rsidRPr="00C72992">
        <w:t xml:space="preserve">перегородок. У двигателей с числом цилиндров  до </w:t>
      </w:r>
      <w:proofErr w:type="spellStart"/>
      <w:r w:rsidRPr="00C72992">
        <w:t>че-тыр</w:t>
      </w:r>
      <w:proofErr w:type="spellEnd"/>
      <w:r w:rsidR="00C72992">
        <w:t xml:space="preserve"> </w:t>
      </w:r>
      <w:proofErr w:type="spellStart"/>
      <w:r w:rsidR="00C72992">
        <w:t>ё</w:t>
      </w:r>
      <w:r w:rsidRPr="00C72992">
        <w:t>х</w:t>
      </w:r>
      <w:proofErr w:type="spellEnd"/>
      <w:r w:rsidRPr="00C72992">
        <w:t xml:space="preserve"> цилиндры </w:t>
      </w:r>
      <w:r w:rsidRPr="00C72992">
        <w:rPr>
          <w:rFonts w:eastAsia="Arial"/>
        </w:rPr>
        <w:t xml:space="preserve"> </w:t>
      </w:r>
      <w:r w:rsidRPr="00C72992">
        <w:t xml:space="preserve">располагаются в один ряд,  при числе цилиндров 6,8 </w:t>
      </w:r>
      <w:proofErr w:type="spellStart"/>
      <w:r w:rsidRPr="00C72992">
        <w:t>иболее</w:t>
      </w:r>
      <w:proofErr w:type="spellEnd"/>
      <w:r w:rsidRPr="00C72992">
        <w:t xml:space="preserve"> – в два ряда с </w:t>
      </w:r>
      <w:r w:rsidRPr="00C72992">
        <w:rPr>
          <w:rFonts w:eastAsia="Arial"/>
        </w:rPr>
        <w:t xml:space="preserve"> </w:t>
      </w:r>
      <w:r w:rsidRPr="00C72992">
        <w:t xml:space="preserve">наклоном одного к другому. Угол между осями </w:t>
      </w:r>
      <w:proofErr w:type="spellStart"/>
      <w:r w:rsidRPr="00C72992">
        <w:t>ци-линдров</w:t>
      </w:r>
      <w:proofErr w:type="spellEnd"/>
      <w:r w:rsidRPr="00C72992">
        <w:t xml:space="preserve"> обоих рядов </w:t>
      </w:r>
      <w:r w:rsidRPr="00C72992">
        <w:rPr>
          <w:rFonts w:eastAsia="Arial"/>
        </w:rPr>
        <w:t xml:space="preserve"> </w:t>
      </w:r>
      <w:r w:rsidRPr="00C72992">
        <w:t xml:space="preserve">называют углом развала. Блок-картер чаще </w:t>
      </w:r>
      <w:proofErr w:type="spellStart"/>
      <w:r w:rsidRPr="00C72992">
        <w:t>всегоотливают</w:t>
      </w:r>
      <w:proofErr w:type="spellEnd"/>
      <w:r w:rsidRPr="00C72992">
        <w:t xml:space="preserve"> из серых, </w:t>
      </w:r>
      <w:r w:rsidRPr="00C72992">
        <w:rPr>
          <w:rFonts w:eastAsia="Arial"/>
        </w:rPr>
        <w:t xml:space="preserve"> </w:t>
      </w:r>
      <w:r w:rsidRPr="00C72992">
        <w:t xml:space="preserve">мелкозернистых чугунов, обладающих </w:t>
      </w:r>
      <w:proofErr w:type="spellStart"/>
      <w:r w:rsidRPr="00C72992">
        <w:t>высокимилитейными</w:t>
      </w:r>
      <w:proofErr w:type="spellEnd"/>
      <w:r w:rsidRPr="00C72992">
        <w:t xml:space="preserve"> и механическими свойствами.</w:t>
      </w:r>
    </w:p>
    <w:p w:rsidR="00045E79" w:rsidRPr="00C72992" w:rsidRDefault="00521F57" w:rsidP="00C72992">
      <w:pPr>
        <w:spacing w:after="0" w:line="240" w:lineRule="auto"/>
        <w:ind w:left="0" w:right="0" w:firstLine="709"/>
        <w:jc w:val="left"/>
      </w:pPr>
      <w:r w:rsidRPr="00521F57">
        <w:rPr>
          <w:rFonts w:eastAsia="Calibri"/>
          <w:noProof/>
          <w:sz w:val="22"/>
        </w:rPr>
      </w:r>
      <w:r w:rsidRPr="00521F57">
        <w:rPr>
          <w:rFonts w:eastAsia="Calibri"/>
          <w:noProof/>
          <w:sz w:val="22"/>
        </w:rPr>
        <w:pict>
          <v:group id="Group 5525" o:spid="_x0000_s1026" style="width:200.6pt;height:163.25pt;mso-position-horizontal-relative:char;mso-position-vertical-relative:line" coordsize="25477,20732">
            <v:shape id="Picture 252" o:spid="_x0000_s1030" style="position:absolute;width:25477;height:20382" coordsize="25477,20732" o:spt="100" adj="0,,0" path="" filled="f">
              <v:stroke joinstyle="round"/>
              <v:imagedata r:id="rId6" o:title="image0"/>
              <v:formulas/>
              <v:path o:connecttype="segments"/>
            </v:shape>
            <v:rect id="Rectangle 254" o:spid="_x0000_s1029" style="position:absolute;left:1665;top:16746;width:592;height:2625" filled="f" stroked="f">
              <v:textbox inset="0,0,0,0">
                <w:txbxContent>
                  <w:p w:rsidR="00521F57" w:rsidRDefault="00EB266B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b/>
                      </w:rPr>
                      <w:t xml:space="preserve"> </w:t>
                    </w:r>
                  </w:p>
                </w:txbxContent>
              </v:textbox>
            </v:rect>
            <v:rect id="Rectangle 255" o:spid="_x0000_s1028" style="position:absolute;left:2701;top:16746;width:592;height:2625" filled="f" stroked="f">
              <v:textbox inset="0,0,0,0">
                <w:txbxContent>
                  <w:p w:rsidR="00521F57" w:rsidRDefault="00EB266B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b/>
                      </w:rPr>
                      <w:t xml:space="preserve"> </w:t>
                    </w:r>
                  </w:p>
                </w:txbxContent>
              </v:textbox>
            </v:rect>
            <v:rect id="Rectangle 257" o:spid="_x0000_s1027" style="position:absolute;left:10397;top:18758;width:592;height:2625" filled="f" stroked="f">
              <v:textbox inset="0,0,0,0">
                <w:txbxContent>
                  <w:p w:rsidR="00521F57" w:rsidRDefault="00EB266B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t xml:space="preserve"> 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045E79" w:rsidRPr="00C72992" w:rsidRDefault="002F2AE7" w:rsidP="00C72992">
      <w:pPr>
        <w:tabs>
          <w:tab w:val="center" w:pos="4965"/>
        </w:tabs>
        <w:spacing w:after="0" w:line="240" w:lineRule="auto"/>
        <w:ind w:left="0" w:right="0" w:firstLine="709"/>
        <w:jc w:val="left"/>
      </w:pPr>
      <w:r w:rsidRPr="00C72992">
        <w:rPr>
          <w:rFonts w:eastAsia="Arial"/>
        </w:rPr>
        <w:t xml:space="preserve"> </w:t>
      </w:r>
      <w:r w:rsidRPr="00C72992">
        <w:rPr>
          <w:rFonts w:eastAsia="Arial"/>
        </w:rPr>
        <w:tab/>
      </w:r>
      <w:r w:rsidRPr="00C72992">
        <w:rPr>
          <w:b/>
        </w:rPr>
        <w:t>Рисунок 8</w:t>
      </w:r>
      <w:r w:rsidRPr="00C72992">
        <w:t xml:space="preserve"> </w:t>
      </w:r>
      <w:r w:rsidRPr="00C72992">
        <w:rPr>
          <w:b/>
        </w:rPr>
        <w:t>- Блок цилиндров V-образного двигателя:</w:t>
      </w:r>
      <w:r w:rsidRPr="00C72992">
        <w:t xml:space="preserve"> </w:t>
      </w:r>
    </w:p>
    <w:p w:rsidR="00C72992" w:rsidRDefault="002F2AE7" w:rsidP="00C72992">
      <w:pPr>
        <w:tabs>
          <w:tab w:val="center" w:pos="1720"/>
          <w:tab w:val="center" w:pos="4956"/>
          <w:tab w:val="center" w:pos="8643"/>
        </w:tabs>
        <w:spacing w:after="0" w:line="240" w:lineRule="auto"/>
        <w:ind w:left="0" w:right="0" w:firstLine="709"/>
        <w:jc w:val="left"/>
      </w:pPr>
      <w:r w:rsidRPr="00C72992">
        <w:t>1—корпус; 2— отверстие под коленчатый вал; 3 — отверстие под распределительный вал;</w:t>
      </w:r>
      <w:r w:rsidRPr="00C72992">
        <w:rPr>
          <w:rFonts w:eastAsia="Arial"/>
        </w:rPr>
        <w:t xml:space="preserve"> </w:t>
      </w:r>
      <w:r w:rsidRPr="00C72992">
        <w:rPr>
          <w:rFonts w:eastAsia="Arial"/>
        </w:rPr>
        <w:tab/>
      </w:r>
      <w:r w:rsidRPr="00C72992">
        <w:t>4— каналы для подвода охлаждающей жидкости; 5— гильзы</w:t>
      </w:r>
    </w:p>
    <w:p w:rsidR="00C72992" w:rsidRDefault="00C72992" w:rsidP="00C72992">
      <w:pPr>
        <w:tabs>
          <w:tab w:val="center" w:pos="1720"/>
          <w:tab w:val="center" w:pos="4956"/>
          <w:tab w:val="center" w:pos="8643"/>
        </w:tabs>
        <w:spacing w:after="0" w:line="240" w:lineRule="auto"/>
        <w:ind w:left="0" w:right="0" w:firstLine="709"/>
        <w:jc w:val="left"/>
      </w:pPr>
    </w:p>
    <w:p w:rsidR="00045E79" w:rsidRPr="00C72992" w:rsidRDefault="00C72992" w:rsidP="00C72992">
      <w:pPr>
        <w:tabs>
          <w:tab w:val="center" w:pos="1720"/>
          <w:tab w:val="center" w:pos="4956"/>
          <w:tab w:val="center" w:pos="8643"/>
        </w:tabs>
        <w:spacing w:after="0" w:line="240" w:lineRule="auto"/>
        <w:ind w:left="0" w:right="0" w:firstLine="709"/>
      </w:pPr>
      <w:r>
        <w:tab/>
      </w:r>
      <w:r w:rsidR="002F2AE7" w:rsidRPr="00C72992">
        <w:t xml:space="preserve">Уплотнение гильз в блоке осуществляется с помощью резиновых </w:t>
      </w:r>
      <w:r w:rsidR="002F2AE7" w:rsidRPr="00C72992">
        <w:rPr>
          <w:rFonts w:eastAsia="Arial"/>
        </w:rPr>
        <w:t xml:space="preserve"> </w:t>
      </w:r>
      <w:r w:rsidR="002F2AE7" w:rsidRPr="00C72992">
        <w:t xml:space="preserve">колец или прокладок. Тщательно обработанную поверхность гильз (или </w:t>
      </w:r>
      <w:r w:rsidR="002F2AE7" w:rsidRPr="00C72992">
        <w:rPr>
          <w:rFonts w:eastAsia="Arial"/>
        </w:rPr>
        <w:t xml:space="preserve"> </w:t>
      </w:r>
      <w:r w:rsidR="002F2AE7" w:rsidRPr="00C72992">
        <w:t>цилиндров) называют зеркалом. Для над</w:t>
      </w:r>
      <w:r>
        <w:t xml:space="preserve"> </w:t>
      </w:r>
      <w:proofErr w:type="spellStart"/>
      <w:r>
        <w:t>ё</w:t>
      </w:r>
      <w:r w:rsidR="002F2AE7" w:rsidRPr="00C72992">
        <w:t>жной</w:t>
      </w:r>
      <w:proofErr w:type="spellEnd"/>
      <w:r w:rsidR="002F2AE7" w:rsidRPr="00C72992">
        <w:t xml:space="preserve"> герметизации мест сопряжения блока, гильзы и головки применяют  сталеасбестовую уплотняющую прокладку толщиной не менее 1,1 мм. Их устанавливают на карбюраторных двигателях и дизелях.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rPr>
          <w:rFonts w:eastAsia="Arial"/>
        </w:rPr>
        <w:lastRenderedPageBreak/>
        <w:t xml:space="preserve"> </w:t>
      </w:r>
      <w:r w:rsidRPr="00C72992">
        <w:t>На современных многоцилиндровых двигателях значительное по</w:t>
      </w:r>
      <w:r w:rsidRPr="00C72992">
        <w:rPr>
          <w:rFonts w:eastAsia="Arial"/>
        </w:rPr>
        <w:t xml:space="preserve"> </w:t>
      </w:r>
      <w:proofErr w:type="spellStart"/>
      <w:r w:rsidRPr="00C72992">
        <w:t>вышение</w:t>
      </w:r>
      <w:proofErr w:type="spellEnd"/>
      <w:r w:rsidRPr="00C72992">
        <w:t xml:space="preserve"> над</w:t>
      </w:r>
      <w:r w:rsidR="00C72992">
        <w:t xml:space="preserve"> </w:t>
      </w:r>
      <w:proofErr w:type="spellStart"/>
      <w:r w:rsidR="00C72992">
        <w:t>ё</w:t>
      </w:r>
      <w:r w:rsidRPr="00C72992">
        <w:t>жности</w:t>
      </w:r>
      <w:proofErr w:type="spellEnd"/>
      <w:r w:rsidRPr="00C72992">
        <w:t xml:space="preserve"> головок и уплотнения газожидкостного стыка </w:t>
      </w:r>
      <w:proofErr w:type="spellStart"/>
      <w:r w:rsidRPr="00C72992">
        <w:t>дос</w:t>
      </w:r>
      <w:proofErr w:type="spellEnd"/>
      <w:r w:rsidRPr="00C72992">
        <w:rPr>
          <w:rFonts w:eastAsia="Arial"/>
        </w:rPr>
        <w:t xml:space="preserve"> </w:t>
      </w:r>
      <w:proofErr w:type="spellStart"/>
      <w:r w:rsidRPr="00C72992">
        <w:t>тигается</w:t>
      </w:r>
      <w:proofErr w:type="spellEnd"/>
      <w:r w:rsidRPr="00C72992">
        <w:t xml:space="preserve"> применением индивидуальных головок на каждый цилиндр и </w:t>
      </w:r>
      <w:r w:rsidRPr="00C72992">
        <w:rPr>
          <w:rFonts w:eastAsia="Arial"/>
        </w:rPr>
        <w:t xml:space="preserve"> </w:t>
      </w:r>
      <w:r w:rsidRPr="00C72992">
        <w:t xml:space="preserve">комбинированных уплотнений, состоящих из стальных и алюминиевых </w:t>
      </w:r>
      <w:r w:rsidRPr="00C72992">
        <w:rPr>
          <w:rFonts w:eastAsia="Arial"/>
        </w:rPr>
        <w:t xml:space="preserve"> </w:t>
      </w:r>
      <w:r w:rsidRPr="00C72992">
        <w:t xml:space="preserve">пластин для уплотнения газового  стыка и резиновых элементов для </w:t>
      </w:r>
      <w:proofErr w:type="spellStart"/>
      <w:r w:rsidRPr="00C72992">
        <w:t>уп</w:t>
      </w:r>
      <w:proofErr w:type="spellEnd"/>
      <w:r w:rsidRPr="00C72992">
        <w:rPr>
          <w:rFonts w:eastAsia="Arial"/>
        </w:rPr>
        <w:t xml:space="preserve"> </w:t>
      </w:r>
      <w:proofErr w:type="spellStart"/>
      <w:r w:rsidRPr="00C72992">
        <w:t>лотнения</w:t>
      </w:r>
      <w:proofErr w:type="spellEnd"/>
      <w:r w:rsidRPr="00C72992">
        <w:t xml:space="preserve"> жидкостного стыка. Преимущество индивидуальных головок </w:t>
      </w:r>
      <w:r w:rsidRPr="00C72992">
        <w:tab/>
        <w:t>– над</w:t>
      </w:r>
      <w:r w:rsidR="00C72992">
        <w:t xml:space="preserve"> </w:t>
      </w:r>
      <w:proofErr w:type="spellStart"/>
      <w:r w:rsidR="00C72992">
        <w:t>ё</w:t>
      </w:r>
      <w:r w:rsidRPr="00C72992">
        <w:t>жность</w:t>
      </w:r>
      <w:proofErr w:type="spellEnd"/>
      <w:r w:rsidRPr="00C72992">
        <w:t xml:space="preserve"> в эксплуатации.</w:t>
      </w:r>
    </w:p>
    <w:p w:rsidR="00C72992" w:rsidRDefault="00C72992" w:rsidP="00C72992">
      <w:pPr>
        <w:pStyle w:val="1"/>
        <w:spacing w:after="0" w:line="240" w:lineRule="auto"/>
        <w:ind w:left="0" w:firstLine="709"/>
        <w:jc w:val="left"/>
      </w:pPr>
    </w:p>
    <w:p w:rsidR="00045E79" w:rsidRPr="00C72992" w:rsidRDefault="00C72992" w:rsidP="00C72992">
      <w:pPr>
        <w:pStyle w:val="1"/>
        <w:spacing w:after="0" w:line="240" w:lineRule="auto"/>
        <w:ind w:left="0" w:firstLine="709"/>
        <w:jc w:val="left"/>
      </w:pPr>
      <w:r>
        <w:t>3</w:t>
      </w:r>
      <w:r w:rsidR="002F2AE7" w:rsidRPr="00C72992">
        <w:t xml:space="preserve">.2 Подвижные детали кривошипно-шатунного механизма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left"/>
      </w:pPr>
      <w:r w:rsidRPr="00C72992">
        <w:t xml:space="preserve">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К подвижным деталям КШМ относят: поршни с кольцами и поршневые пальцы, шатуны с подшипниками, коленчатый вал с маховиком и гасителем крутильных колебаний.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Поршень (рисунок 9) служит для восприятия давления газов и передачи его через поршневой палец и шатун на кривошип коленчатого вала. Он подвержен наибольшему воздействию механических и тепловых нагрузок. Одновременно поршень выполняет функции уплотняющего элемента КШМ и отводит тепло от находящихся в </w:t>
      </w:r>
      <w:proofErr w:type="spellStart"/>
      <w:r w:rsidRPr="00C72992">
        <w:t>надпоршневом</w:t>
      </w:r>
      <w:proofErr w:type="spellEnd"/>
      <w:r w:rsidRPr="00C72992">
        <w:t xml:space="preserve"> пространстве горячих газов. Поршень состоит из днища, уплотняющей части и направляющей части (юбки). На внутренней стороне юбки имеются два массивных прилива – бобышки. Они соединяются </w:t>
      </w:r>
      <w:proofErr w:type="spellStart"/>
      <w:r w:rsidRPr="00C72992">
        <w:t>р</w:t>
      </w:r>
      <w:proofErr w:type="spellEnd"/>
      <w:r w:rsidR="00C72992">
        <w:t xml:space="preserve"> </w:t>
      </w:r>
      <w:proofErr w:type="spellStart"/>
      <w:r w:rsidR="00C72992">
        <w:t>ё</w:t>
      </w:r>
      <w:r w:rsidRPr="00C72992">
        <w:t>брами</w:t>
      </w:r>
      <w:proofErr w:type="spellEnd"/>
      <w:r w:rsidRPr="00C72992">
        <w:t xml:space="preserve"> с днищем, увеличивая тем самым прочность поршня.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Число колец, устанавливаемых на поршне, зависит от типа двигателя и частоты вращения коленчатого вала. Чаще в карбюраторных двигателях и дизелях применяют укороченные поршни с двумя компрессионными и одним </w:t>
      </w:r>
      <w:proofErr w:type="spellStart"/>
      <w:r w:rsidRPr="00C72992">
        <w:t>маслосъ</w:t>
      </w:r>
      <w:proofErr w:type="spellEnd"/>
      <w:r w:rsidR="00C72992">
        <w:t xml:space="preserve"> </w:t>
      </w:r>
      <w:proofErr w:type="spellStart"/>
      <w:r w:rsidR="00C72992">
        <w:t>ё</w:t>
      </w:r>
      <w:r w:rsidRPr="00C72992">
        <w:t>мным</w:t>
      </w:r>
      <w:proofErr w:type="spellEnd"/>
      <w:r w:rsidRPr="00C72992">
        <w:t xml:space="preserve"> кольцом, расположенных выше поршневого пальца. При уменьшении числа компрессионных колец с </w:t>
      </w:r>
      <w:proofErr w:type="spellStart"/>
      <w:r w:rsidRPr="00C72992">
        <w:t>тр</w:t>
      </w:r>
      <w:proofErr w:type="spellEnd"/>
      <w:r w:rsidR="00C72992">
        <w:t xml:space="preserve"> </w:t>
      </w:r>
      <w:proofErr w:type="spellStart"/>
      <w:r w:rsidR="00C72992">
        <w:t>ё</w:t>
      </w:r>
      <w:r w:rsidRPr="00C72992">
        <w:t>х</w:t>
      </w:r>
      <w:proofErr w:type="spellEnd"/>
      <w:r w:rsidRPr="00C72992">
        <w:t xml:space="preserve"> до двух иногда вводят между ними промежуточную канавку на поршне. Поршневые кольца по назначению делятся на компрессионные и </w:t>
      </w:r>
      <w:proofErr w:type="spellStart"/>
      <w:r w:rsidRPr="00C72992">
        <w:t>маслосъ</w:t>
      </w:r>
      <w:proofErr w:type="spellEnd"/>
      <w:r w:rsidR="00C72992">
        <w:t xml:space="preserve"> </w:t>
      </w:r>
      <w:proofErr w:type="spellStart"/>
      <w:r w:rsidR="00C72992">
        <w:t>ё</w:t>
      </w:r>
      <w:r w:rsidRPr="00C72992">
        <w:t>мные</w:t>
      </w:r>
      <w:proofErr w:type="spellEnd"/>
      <w:r w:rsidRPr="00C72992">
        <w:t xml:space="preserve">.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left"/>
      </w:pPr>
      <w:r w:rsidRPr="00C72992">
        <w:t xml:space="preserve">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center"/>
      </w:pPr>
      <w:r w:rsidRPr="00C72992">
        <w:rPr>
          <w:noProof/>
        </w:rPr>
        <w:drawing>
          <wp:inline distT="0" distB="0" distL="0" distR="0">
            <wp:extent cx="3142615" cy="1743710"/>
            <wp:effectExtent l="0" t="0" r="0" b="0"/>
            <wp:docPr id="515" name="Picture 5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" name="Picture 5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2615" cy="174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72992">
        <w:t xml:space="preserve"> </w:t>
      </w:r>
    </w:p>
    <w:p w:rsidR="00045E79" w:rsidRPr="00C72992" w:rsidRDefault="002F2AE7" w:rsidP="00C72992">
      <w:pPr>
        <w:pStyle w:val="1"/>
        <w:spacing w:after="0" w:line="240" w:lineRule="auto"/>
        <w:ind w:left="0" w:firstLine="709"/>
      </w:pPr>
      <w:r w:rsidRPr="00C72992">
        <w:t xml:space="preserve">Рисунок 9 – Составные части поршня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left"/>
      </w:pPr>
      <w:r w:rsidRPr="00C72992">
        <w:t xml:space="preserve">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Компрессионные кольца устанавливают для предотвращения прорыва газов в картер в процессе сжатия и расширения, также они </w:t>
      </w:r>
      <w:r w:rsidRPr="00C72992">
        <w:lastRenderedPageBreak/>
        <w:t>служат для передачи тепла от поршня к цилиндру. Компрессионные кольца работают в тяж</w:t>
      </w:r>
      <w:r w:rsidR="00C72992">
        <w:t xml:space="preserve"> </w:t>
      </w:r>
      <w:proofErr w:type="spellStart"/>
      <w:r w:rsidR="00C72992">
        <w:t>ё</w:t>
      </w:r>
      <w:r w:rsidRPr="00C72992">
        <w:t>лых</w:t>
      </w:r>
      <w:proofErr w:type="spellEnd"/>
      <w:r w:rsidRPr="00C72992">
        <w:t xml:space="preserve"> условиях (особенно верхнее). В результате соприкосновения с горячими газами, а также ввиду большой работы и трения кольцо подвергается сильному нагреву, поэтому возникают трудности в создании над</w:t>
      </w:r>
      <w:r w:rsidR="00C72992">
        <w:t xml:space="preserve"> </w:t>
      </w:r>
      <w:proofErr w:type="spellStart"/>
      <w:r w:rsidR="00C72992">
        <w:t>ё</w:t>
      </w:r>
      <w:r w:rsidRPr="00C72992">
        <w:t>жного</w:t>
      </w:r>
      <w:proofErr w:type="spellEnd"/>
      <w:r w:rsidRPr="00C72992">
        <w:t xml:space="preserve"> смазывания, особенно при нахождении поршня в ВМТ. Чаще всего их изготавливают из чугуна.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proofErr w:type="spellStart"/>
      <w:r w:rsidRPr="00C72992">
        <w:t>Маслосъ</w:t>
      </w:r>
      <w:proofErr w:type="spellEnd"/>
      <w:r w:rsidR="00C72992">
        <w:t xml:space="preserve"> </w:t>
      </w:r>
      <w:proofErr w:type="spellStart"/>
      <w:r w:rsidR="00C72992">
        <w:t>ё</w:t>
      </w:r>
      <w:r w:rsidRPr="00C72992">
        <w:t>мные</w:t>
      </w:r>
      <w:proofErr w:type="spellEnd"/>
      <w:r w:rsidRPr="00C72992">
        <w:t xml:space="preserve"> кольца служат для удаления излишек масла с рабочей поверхности цилиндра и предотвращения попадания его в камеру сгорания. Маслосъемные кольца работают в менее тяж</w:t>
      </w:r>
      <w:r w:rsidR="00C72992">
        <w:t xml:space="preserve"> </w:t>
      </w:r>
      <w:proofErr w:type="spellStart"/>
      <w:r w:rsidR="00C72992">
        <w:t>ё</w:t>
      </w:r>
      <w:r w:rsidRPr="00C72992">
        <w:t>лых</w:t>
      </w:r>
      <w:proofErr w:type="spellEnd"/>
      <w:r w:rsidRPr="00C72992">
        <w:t xml:space="preserve"> условиях, </w:t>
      </w:r>
      <w:r w:rsidR="00C72992">
        <w:t xml:space="preserve"> </w:t>
      </w:r>
      <w:r w:rsidRPr="00C72992">
        <w:t xml:space="preserve">чем компрессионные, так как подвергаются воздействию невысоких температур и давления и имеют лучшие условия для смазывания.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Поршневой палец (рисунок 10) служит для шарнирного соединения поршня с шатуном. Представляет собой гладкий цилиндрический стержень.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center"/>
      </w:pPr>
      <w:r w:rsidRPr="00C72992">
        <w:rPr>
          <w:noProof/>
        </w:rPr>
        <w:drawing>
          <wp:inline distT="0" distB="0" distL="0" distR="0">
            <wp:extent cx="1503680" cy="1800225"/>
            <wp:effectExtent l="0" t="0" r="0" b="0"/>
            <wp:docPr id="573" name="Picture 5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" name="Picture 57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368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72992">
        <w:t xml:space="preserve"> </w:t>
      </w:r>
    </w:p>
    <w:p w:rsidR="00045E79" w:rsidRPr="00C72992" w:rsidRDefault="002F2AE7" w:rsidP="00C72992">
      <w:pPr>
        <w:pStyle w:val="1"/>
        <w:spacing w:after="0" w:line="240" w:lineRule="auto"/>
        <w:ind w:left="0" w:firstLine="709"/>
      </w:pPr>
      <w:r w:rsidRPr="00C72992">
        <w:t xml:space="preserve">Рисунок 10 – Поршневой палец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left"/>
      </w:pPr>
      <w:r w:rsidRPr="00C72992">
        <w:t xml:space="preserve">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>Шатун (рисунок 11) воспринимает от поршня и переда</w:t>
      </w:r>
      <w:r w:rsidR="00C72992">
        <w:t xml:space="preserve"> </w:t>
      </w:r>
      <w:proofErr w:type="spellStart"/>
      <w:r w:rsidR="00C72992">
        <w:t>ё</w:t>
      </w:r>
      <w:r w:rsidRPr="00C72992">
        <w:t>т</w:t>
      </w:r>
      <w:proofErr w:type="spellEnd"/>
      <w:r w:rsidRPr="00C72992">
        <w:t xml:space="preserve"> коленчатому валу силу давления газов при рабочем ходе, а также перемещает поршень при вспомогательных процессах. Элементы шатуна: верхняя (поршневая) головка, стержень, нижняя (кривошипная) головка.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right"/>
      </w:pPr>
      <w:r w:rsidRPr="00C72992">
        <w:rPr>
          <w:noProof/>
        </w:rPr>
        <w:lastRenderedPageBreak/>
        <w:drawing>
          <wp:inline distT="0" distB="0" distL="0" distR="0">
            <wp:extent cx="4213860" cy="3102610"/>
            <wp:effectExtent l="0" t="0" r="0" b="0"/>
            <wp:docPr id="597" name="Picture 5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" name="Picture 59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3860" cy="310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72992">
        <w:t xml:space="preserve"> </w:t>
      </w:r>
    </w:p>
    <w:p w:rsidR="00045E79" w:rsidRPr="00C72992" w:rsidRDefault="002F2AE7" w:rsidP="00C72992">
      <w:pPr>
        <w:pStyle w:val="1"/>
        <w:spacing w:after="0" w:line="240" w:lineRule="auto"/>
        <w:ind w:left="0" w:firstLine="709"/>
      </w:pPr>
      <w:r w:rsidRPr="00C72992">
        <w:t xml:space="preserve">Рисунок 11 – Составные части шатуна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left"/>
      </w:pPr>
      <w:r w:rsidRPr="00C72992">
        <w:t xml:space="preserve">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Коленчатый вал (рисунок 12) относится к наиболее нагруженным, </w:t>
      </w:r>
      <w:proofErr w:type="spellStart"/>
      <w:r w:rsidRPr="00C72992">
        <w:t>напряж</w:t>
      </w:r>
      <w:proofErr w:type="spellEnd"/>
      <w:r w:rsidR="00C72992">
        <w:t xml:space="preserve"> </w:t>
      </w:r>
      <w:proofErr w:type="spellStart"/>
      <w:r w:rsidR="00C72992">
        <w:t>ё</w:t>
      </w:r>
      <w:r w:rsidRPr="00C72992">
        <w:t>нным</w:t>
      </w:r>
      <w:proofErr w:type="spellEnd"/>
      <w:r w:rsidRPr="00C72992">
        <w:t xml:space="preserve"> и дорогостоящим деталям двигателя. Газовые и инерционные силы создают скручивающие и изгибающие напряжения в коленчатом валу. Крутящие моменты вызывают его крутильные колебания. Форма коленчатого вала зависит от числа и расположения цилиндров, порядка работы и </w:t>
      </w:r>
      <w:proofErr w:type="spellStart"/>
      <w:r w:rsidRPr="00C72992">
        <w:t>тактности</w:t>
      </w:r>
      <w:proofErr w:type="spellEnd"/>
      <w:r w:rsidRPr="00C72992">
        <w:t xml:space="preserve"> двигателя.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right"/>
      </w:pPr>
      <w:r w:rsidRPr="00C72992">
        <w:rPr>
          <w:noProof/>
        </w:rPr>
        <w:drawing>
          <wp:inline distT="0" distB="0" distL="0" distR="0">
            <wp:extent cx="5402580" cy="3226054"/>
            <wp:effectExtent l="0" t="0" r="0" b="0"/>
            <wp:docPr id="641" name="Picture 6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" name="Picture 64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2580" cy="322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72992">
        <w:t xml:space="preserve"> </w:t>
      </w:r>
    </w:p>
    <w:p w:rsidR="00045E79" w:rsidRPr="00C72992" w:rsidRDefault="002F2AE7" w:rsidP="00C72992">
      <w:pPr>
        <w:pStyle w:val="1"/>
        <w:spacing w:after="0" w:line="240" w:lineRule="auto"/>
        <w:ind w:left="0" w:firstLine="709"/>
      </w:pPr>
      <w:r w:rsidRPr="00C72992">
        <w:t xml:space="preserve">Рисунок 12 – Коленчатый вал рядного четырехцилиндрового двигателя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left"/>
      </w:pPr>
      <w:r w:rsidRPr="00C72992">
        <w:t xml:space="preserve">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lastRenderedPageBreak/>
        <w:t>Маховик (рисунок 13) необходим для накопления кинетической энергии в течение рабочего хода и вращении коленчатого вала во время вспомогательных тактов, вывода поршня из м</w:t>
      </w:r>
      <w:r w:rsidR="00C72992">
        <w:t xml:space="preserve"> </w:t>
      </w:r>
      <w:proofErr w:type="spellStart"/>
      <w:r w:rsidR="00C72992">
        <w:t>ё</w:t>
      </w:r>
      <w:r w:rsidRPr="00C72992">
        <w:t>ртвых</w:t>
      </w:r>
      <w:proofErr w:type="spellEnd"/>
      <w:r w:rsidRPr="00C72992">
        <w:t xml:space="preserve"> точек и уменьшении неравномерности вращения вала. Он обеспечивает устойчивую работу двигателя при трогании автомобиля, а также при кратковременных перегрузках.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left"/>
      </w:pPr>
      <w:r w:rsidRPr="00C72992">
        <w:t xml:space="preserve">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center"/>
      </w:pPr>
      <w:r w:rsidRPr="00C72992">
        <w:rPr>
          <w:noProof/>
        </w:rPr>
        <w:drawing>
          <wp:inline distT="0" distB="0" distL="0" distR="0">
            <wp:extent cx="2049780" cy="2007235"/>
            <wp:effectExtent l="0" t="0" r="7620" b="0"/>
            <wp:docPr id="674" name="Picture 6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" name="Picture 67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9780" cy="200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5E79" w:rsidRPr="00C72992" w:rsidRDefault="002F2AE7" w:rsidP="00C72992">
      <w:pPr>
        <w:pStyle w:val="1"/>
        <w:spacing w:after="0" w:line="240" w:lineRule="auto"/>
        <w:ind w:left="0" w:firstLine="709"/>
      </w:pPr>
      <w:r w:rsidRPr="00C72992">
        <w:t xml:space="preserve">Рисунок 13 - Маховик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left"/>
      </w:pPr>
      <w:r w:rsidRPr="00C72992">
        <w:t xml:space="preserve">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Гаситель крутильных колебаний (демпфер) применяют в высокооборотных многоцилиндровых двигателях для гашения крутильных колебаний и частичного поглощения энергии, вносимой возбуждающими моментами в систему коленчатого вала при резонансе. Устанавливается на переднем конце коленчатого вала, где амплитуда колебаний достигает максимальных значений. Наибольшее распространение получили демпферы внутреннего и жидкостного трения.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Возможные неисправности: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Признак увеличенного износа деталей цилиндропоршневой группы или залегания поршневых колец – это повышенный расход картерного масла на угар, дымных выпуск и  интенсивный выход газов и сапуна, а также падение мощности и повышения удельного расхода топлива.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При замене надо знать: гильзы по внутреннему диаметру и поршни по наружному диаметру сортируют на размерные группы. Обозначение наносится на верхний бурт гильзы и на днище поршня. </w:t>
      </w:r>
    </w:p>
    <w:p w:rsidR="00045E79" w:rsidRDefault="002F2AE7" w:rsidP="00C72992">
      <w:pPr>
        <w:spacing w:after="0" w:line="240" w:lineRule="auto"/>
        <w:ind w:left="0" w:right="0" w:firstLine="709"/>
        <w:jc w:val="left"/>
        <w:rPr>
          <w:b/>
        </w:rPr>
      </w:pPr>
      <w:r w:rsidRPr="00C72992">
        <w:rPr>
          <w:b/>
        </w:rPr>
        <w:t xml:space="preserve"> </w:t>
      </w:r>
    </w:p>
    <w:p w:rsidR="00C72992" w:rsidRDefault="00C72992" w:rsidP="00C72992">
      <w:pPr>
        <w:spacing w:after="0" w:line="240" w:lineRule="auto"/>
        <w:ind w:left="0" w:right="0" w:firstLine="709"/>
        <w:jc w:val="left"/>
      </w:pPr>
    </w:p>
    <w:p w:rsidR="00C72992" w:rsidRDefault="00C72992" w:rsidP="00C72992">
      <w:pPr>
        <w:spacing w:after="0" w:line="240" w:lineRule="auto"/>
        <w:ind w:left="0" w:right="0" w:firstLine="709"/>
        <w:jc w:val="left"/>
      </w:pPr>
    </w:p>
    <w:p w:rsidR="00C72992" w:rsidRDefault="00C72992" w:rsidP="00C72992">
      <w:pPr>
        <w:spacing w:after="0" w:line="240" w:lineRule="auto"/>
        <w:ind w:left="0" w:right="0" w:firstLine="709"/>
        <w:jc w:val="left"/>
      </w:pPr>
    </w:p>
    <w:p w:rsidR="00C72992" w:rsidRDefault="00C72992" w:rsidP="00C72992">
      <w:pPr>
        <w:spacing w:after="0" w:line="240" w:lineRule="auto"/>
        <w:ind w:left="0" w:right="0" w:firstLine="709"/>
        <w:jc w:val="left"/>
      </w:pPr>
    </w:p>
    <w:p w:rsidR="00C72992" w:rsidRDefault="00C72992" w:rsidP="00C72992">
      <w:pPr>
        <w:spacing w:after="0" w:line="240" w:lineRule="auto"/>
        <w:ind w:left="0" w:right="0" w:firstLine="709"/>
        <w:jc w:val="left"/>
      </w:pPr>
    </w:p>
    <w:p w:rsidR="00C72992" w:rsidRDefault="00C72992" w:rsidP="00C72992">
      <w:pPr>
        <w:spacing w:after="0" w:line="240" w:lineRule="auto"/>
        <w:ind w:left="0" w:right="0" w:firstLine="709"/>
        <w:jc w:val="left"/>
      </w:pPr>
    </w:p>
    <w:p w:rsidR="00C72992" w:rsidRDefault="00C72992" w:rsidP="00C72992">
      <w:pPr>
        <w:spacing w:after="0" w:line="240" w:lineRule="auto"/>
        <w:ind w:left="0" w:right="0" w:firstLine="709"/>
        <w:jc w:val="left"/>
      </w:pPr>
    </w:p>
    <w:p w:rsidR="00045E79" w:rsidRPr="00C72992" w:rsidRDefault="00C72992" w:rsidP="00C72992">
      <w:pPr>
        <w:spacing w:after="0" w:line="240" w:lineRule="auto"/>
        <w:ind w:left="0" w:right="0" w:firstLine="709"/>
        <w:jc w:val="left"/>
      </w:pPr>
      <w:r>
        <w:rPr>
          <w:b/>
        </w:rPr>
        <w:lastRenderedPageBreak/>
        <w:t xml:space="preserve">4 </w:t>
      </w:r>
      <w:r w:rsidR="002F2AE7" w:rsidRPr="00C72992">
        <w:rPr>
          <w:b/>
        </w:rPr>
        <w:t xml:space="preserve">Механизм газораспределения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left"/>
      </w:pPr>
      <w:r w:rsidRPr="00C72992">
        <w:rPr>
          <w:b/>
        </w:rPr>
        <w:t xml:space="preserve"> </w:t>
      </w:r>
    </w:p>
    <w:p w:rsidR="00045E79" w:rsidRPr="00C72992" w:rsidRDefault="00C72992" w:rsidP="00C72992">
      <w:pPr>
        <w:pStyle w:val="1"/>
        <w:spacing w:after="0" w:line="240" w:lineRule="auto"/>
        <w:ind w:left="0" w:firstLine="709"/>
        <w:jc w:val="left"/>
      </w:pPr>
      <w:r>
        <w:t>4</w:t>
      </w:r>
      <w:r w:rsidR="002F2AE7" w:rsidRPr="00C72992">
        <w:t xml:space="preserve">.1 Виды механизмов газораспределения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left"/>
      </w:pPr>
      <w:r w:rsidRPr="00C72992">
        <w:t xml:space="preserve">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Механизм газораспределения служит для своевременного открытия и закрытия впускных и выпускных клапанов двигателя, обеспечивая качественное наполнение цилиндра свежим зарядом, его очистку от отработавших газов и герметизацию цилиндра при сжатии и рабочем ходе.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В зависимости от типа органов, с помощью которых цилиндр двигателя сообщается с окружающей средой, механизмы газораспределения делятся на золотниковые, комбинированные и клапанные.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Золотниковые широкое распространение не получили. Комбинированные механизмы газораспределения применяются с прямоточной клапанно-щелевой продувкой (ЯМЗ-204, ЯМЗ-206).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>Клапанные механизмы – основной вид механизмов газораспределения, применяемых в современных автомобильных и тракторных двигателях. Характеризуются простотой конструкции, малой стоимостью изготовления и ремонта, совершенством уплотнения рабочей полости цилиндра и над</w:t>
      </w:r>
      <w:r w:rsidR="00C72992">
        <w:t xml:space="preserve"> </w:t>
      </w:r>
      <w:proofErr w:type="spellStart"/>
      <w:r w:rsidR="00C72992">
        <w:t>ё</w:t>
      </w:r>
      <w:r w:rsidRPr="00C72992">
        <w:t>жностью</w:t>
      </w:r>
      <w:proofErr w:type="spellEnd"/>
      <w:r w:rsidRPr="00C72992">
        <w:t xml:space="preserve"> работы. Клапанные механизмы газораспределения в зависимости от места установки клапана относительно цилиндров разделяются на механизмы с нижним и верхним расположением клапанов.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Клапан (рисунок 14) состоит из стержня и головки (тарелки). Для уменьшения сопротивления при впуске и выпуске сделан плавный переход от стержня к головке клапана.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center"/>
      </w:pPr>
      <w:r w:rsidRPr="00C72992">
        <w:rPr>
          <w:noProof/>
        </w:rPr>
        <w:drawing>
          <wp:inline distT="0" distB="0" distL="0" distR="0">
            <wp:extent cx="861060" cy="2802255"/>
            <wp:effectExtent l="0" t="0" r="0" b="0"/>
            <wp:docPr id="817" name="Picture 8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" name="Picture 8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1060" cy="280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72992">
        <w:t xml:space="preserve">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center"/>
      </w:pPr>
      <w:r w:rsidRPr="00C72992">
        <w:rPr>
          <w:b/>
        </w:rPr>
        <w:t xml:space="preserve">Рисунок 14 – Конструкция привода клапана в сборе: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1 – регулировочная шайба; 2 – толкатель; 3 – сухари; 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center"/>
      </w:pPr>
      <w:r w:rsidRPr="00C72992">
        <w:t xml:space="preserve">4 – наружная пружина; 5 – клапан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left"/>
      </w:pPr>
      <w:r w:rsidRPr="00C72992">
        <w:lastRenderedPageBreak/>
        <w:t xml:space="preserve">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>С</w:t>
      </w:r>
      <w:r w:rsidR="00C72992">
        <w:t>е</w:t>
      </w:r>
      <w:r w:rsidRPr="00C72992">
        <w:t xml:space="preserve">дла – опоры для головок клапанов.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>Клапанные пружины предназначены для плотной посадки клапанов в с</w:t>
      </w:r>
      <w:r w:rsidR="00C72992">
        <w:t xml:space="preserve"> </w:t>
      </w:r>
      <w:proofErr w:type="spellStart"/>
      <w:r w:rsidR="00C72992">
        <w:t>ё</w:t>
      </w:r>
      <w:r w:rsidRPr="00C72992">
        <w:t>дла</w:t>
      </w:r>
      <w:proofErr w:type="spellEnd"/>
      <w:r w:rsidRPr="00C72992">
        <w:t xml:space="preserve">, а также постоянного </w:t>
      </w:r>
      <w:proofErr w:type="spellStart"/>
      <w:r w:rsidRPr="00C72992">
        <w:t>беззазорного</w:t>
      </w:r>
      <w:proofErr w:type="spellEnd"/>
      <w:r w:rsidRPr="00C72992">
        <w:t xml:space="preserve"> контакта передаточных деталей.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>Механизм вращения клапанов применяют в некоторых двигателях (ЗИЛ-130,ЗИЛ-375) для повышения над</w:t>
      </w:r>
      <w:r w:rsidR="00C72992">
        <w:t xml:space="preserve"> </w:t>
      </w:r>
      <w:proofErr w:type="spellStart"/>
      <w:r w:rsidR="00C72992">
        <w:t>ё</w:t>
      </w:r>
      <w:r w:rsidRPr="00C72992">
        <w:t>жности</w:t>
      </w:r>
      <w:proofErr w:type="spellEnd"/>
      <w:r w:rsidRPr="00C72992">
        <w:t xml:space="preserve"> и долговечности впускных клапанов.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left"/>
      </w:pPr>
      <w:r w:rsidRPr="00C72992">
        <w:t xml:space="preserve"> </w:t>
      </w:r>
    </w:p>
    <w:p w:rsidR="00045E79" w:rsidRPr="00C72992" w:rsidRDefault="00C72992" w:rsidP="00C72992">
      <w:pPr>
        <w:pStyle w:val="1"/>
        <w:spacing w:after="0" w:line="240" w:lineRule="auto"/>
        <w:ind w:left="0" w:firstLine="709"/>
        <w:jc w:val="left"/>
      </w:pPr>
      <w:r>
        <w:t>4</w:t>
      </w:r>
      <w:r w:rsidR="002F2AE7" w:rsidRPr="00C72992">
        <w:t xml:space="preserve">.2 Детали механизма газораспределения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left"/>
      </w:pPr>
      <w:r w:rsidRPr="00C72992">
        <w:t xml:space="preserve">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Фазы газораспределения – это периоды от момента открытия клапанов до момента их закрытия, выраженные в градусах поворота коленчатого вала. Моменты открытия и закрытия клапанов определяются профилем кулачков распределительного вала, установкой его по отношению к коленчатому валу и зазорами между клапанами и толкателями или коромыслами. Для двигателя каждой модели фазы газораспределения устанавливаются экспериментально.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Распределительный вал служит для управления клапанами. Он состоит из кулачков и опорных шеек. Распределительный вал приводится во вращение от коленчатого вала через </w:t>
      </w:r>
      <w:proofErr w:type="spellStart"/>
      <w:r w:rsidRPr="00C72992">
        <w:t>шестер</w:t>
      </w:r>
      <w:proofErr w:type="spellEnd"/>
      <w:r w:rsidR="00C72992">
        <w:t xml:space="preserve"> </w:t>
      </w:r>
      <w:proofErr w:type="spellStart"/>
      <w:r w:rsidR="00C72992">
        <w:t>ё</w:t>
      </w:r>
      <w:r w:rsidRPr="00C72992">
        <w:t>нные</w:t>
      </w:r>
      <w:proofErr w:type="spellEnd"/>
      <w:r w:rsidRPr="00C72992">
        <w:t xml:space="preserve"> передачи с промежуточными валами, через рем</w:t>
      </w:r>
      <w:r w:rsidR="00C72992">
        <w:t xml:space="preserve"> </w:t>
      </w:r>
      <w:proofErr w:type="spellStart"/>
      <w:r w:rsidR="00C72992">
        <w:t>ё</w:t>
      </w:r>
      <w:r w:rsidRPr="00C72992">
        <w:t>нные</w:t>
      </w:r>
      <w:proofErr w:type="spellEnd"/>
      <w:r w:rsidRPr="00C72992">
        <w:t xml:space="preserve"> или цепные передачи. При верхнем расположении распределительного вала используют цепные передачи. Наиболее перспективно применение зубчатых синтетических ремней, армированных стальной проволокой или стекловолокном.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Распределительные шестерни – это детали, наиболее </w:t>
      </w:r>
      <w:proofErr w:type="spellStart"/>
      <w:r w:rsidRPr="00C72992">
        <w:t>распростран</w:t>
      </w:r>
      <w:proofErr w:type="spellEnd"/>
      <w:r w:rsidR="00C72992">
        <w:t xml:space="preserve"> </w:t>
      </w:r>
      <w:proofErr w:type="spellStart"/>
      <w:r w:rsidR="00C72992">
        <w:t>ё</w:t>
      </w:r>
      <w:r w:rsidRPr="00C72992">
        <w:t>нного</w:t>
      </w:r>
      <w:proofErr w:type="spellEnd"/>
      <w:r w:rsidRPr="00C72992">
        <w:t xml:space="preserve"> привода при нижнем расположении распределительного вала. Для установки фаз газораспределения при сборке двигателей на шестернях и </w:t>
      </w:r>
      <w:proofErr w:type="spellStart"/>
      <w:r w:rsidRPr="00C72992">
        <w:t>зв</w:t>
      </w:r>
      <w:proofErr w:type="spellEnd"/>
      <w:r w:rsidR="00C72992">
        <w:t xml:space="preserve"> </w:t>
      </w:r>
      <w:proofErr w:type="spellStart"/>
      <w:r w:rsidR="00C72992">
        <w:t>ё</w:t>
      </w:r>
      <w:r w:rsidRPr="00C72992">
        <w:t>здочках</w:t>
      </w:r>
      <w:proofErr w:type="spellEnd"/>
      <w:r w:rsidRPr="00C72992">
        <w:t xml:space="preserve"> наносят метки, которые совмещают или устанавливают в </w:t>
      </w:r>
      <w:proofErr w:type="spellStart"/>
      <w:r w:rsidRPr="00C72992">
        <w:t>определ</w:t>
      </w:r>
      <w:proofErr w:type="spellEnd"/>
      <w:r w:rsidR="00C72992">
        <w:t xml:space="preserve"> </w:t>
      </w:r>
      <w:proofErr w:type="spellStart"/>
      <w:r w:rsidR="00C72992">
        <w:t>ё</w:t>
      </w:r>
      <w:r w:rsidRPr="00C72992">
        <w:t>нном</w:t>
      </w:r>
      <w:proofErr w:type="spellEnd"/>
      <w:r w:rsidRPr="00C72992">
        <w:t xml:space="preserve"> положении.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>Толкатель – переда</w:t>
      </w:r>
      <w:r w:rsidR="00C72992">
        <w:t xml:space="preserve"> </w:t>
      </w:r>
      <w:proofErr w:type="spellStart"/>
      <w:r w:rsidR="00C72992">
        <w:t>ё</w:t>
      </w:r>
      <w:r w:rsidRPr="00C72992">
        <w:t>т</w:t>
      </w:r>
      <w:proofErr w:type="spellEnd"/>
      <w:r w:rsidRPr="00C72992">
        <w:t xml:space="preserve"> движение от кулачка распределительного вала к клапану непосредственно или через штангу и коромысло.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>Штанги передают усилия от толкателя к коромыслу, поэтому обладают большей ж</w:t>
      </w:r>
      <w:r w:rsidR="00C72992">
        <w:t xml:space="preserve"> </w:t>
      </w:r>
      <w:proofErr w:type="spellStart"/>
      <w:r w:rsidR="00C72992">
        <w:t>ё</w:t>
      </w:r>
      <w:r w:rsidRPr="00C72992">
        <w:t>сткостью</w:t>
      </w:r>
      <w:proofErr w:type="spellEnd"/>
      <w:r w:rsidRPr="00C72992">
        <w:t xml:space="preserve"> и меньшей массой.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Коромысло клапанов в выполняют виде одно- или двуплечих рычагов, которые предназначены для передачи усилий к клапану от кулачка через штангу. Для уменьшения хода толкателя и штанги и снижения сил инерции коромысла выполняют неравноплечими.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left"/>
      </w:pPr>
      <w:r w:rsidRPr="00C72992">
        <w:t xml:space="preserve"> </w:t>
      </w:r>
    </w:p>
    <w:p w:rsidR="00045E79" w:rsidRPr="00C72992" w:rsidRDefault="00C72992" w:rsidP="00C72992">
      <w:pPr>
        <w:pStyle w:val="1"/>
        <w:spacing w:after="0" w:line="240" w:lineRule="auto"/>
        <w:ind w:left="0" w:firstLine="709"/>
        <w:jc w:val="left"/>
      </w:pPr>
      <w:r>
        <w:t>4</w:t>
      </w:r>
      <w:bookmarkStart w:id="0" w:name="_GoBack"/>
      <w:bookmarkEnd w:id="0"/>
      <w:r w:rsidR="002F2AE7" w:rsidRPr="00C72992">
        <w:t xml:space="preserve">.3 Неисправности газораспределительного механизма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left"/>
      </w:pPr>
      <w:r w:rsidRPr="00C72992">
        <w:t xml:space="preserve"> </w:t>
      </w:r>
    </w:p>
    <w:p w:rsidR="00045E79" w:rsidRPr="00C72992" w:rsidRDefault="002F2AE7" w:rsidP="00C72992">
      <w:pPr>
        <w:spacing w:after="0" w:line="240" w:lineRule="auto"/>
        <w:ind w:left="0" w:right="0" w:firstLine="709"/>
      </w:pPr>
      <w:r w:rsidRPr="00C72992">
        <w:t xml:space="preserve">ГРМ работает в условиях ударных и тепловых нагрузок. Эти условия могут вызвать износ посадочных мест тарелки клапана и его </w:t>
      </w:r>
      <w:r w:rsidRPr="00C72992">
        <w:lastRenderedPageBreak/>
        <w:t xml:space="preserve">седла, образованию на них нагара, износ рабочей поверхности кулачков распределительного вала и толкателей, рабочей поверхности штанг, коромысел, стержней клапанов и направляющих втулок; потере упругости клапанной пружины. По этим причинам в ГРМ снижается герметичность клапанов. При увеличении зазора сверх допустимого клапан открывается не полностью, что ухудшает  очистку цилиндра от отработавших газов, приводит к падению мощности и экономичности.  </w:t>
      </w:r>
    </w:p>
    <w:p w:rsidR="00045E79" w:rsidRPr="00C72992" w:rsidRDefault="002F2AE7" w:rsidP="00C72992">
      <w:pPr>
        <w:spacing w:after="0" w:line="240" w:lineRule="auto"/>
        <w:ind w:left="0" w:right="0" w:firstLine="709"/>
        <w:jc w:val="right"/>
      </w:pPr>
      <w:r w:rsidRPr="00C72992">
        <w:rPr>
          <w:noProof/>
        </w:rPr>
        <w:drawing>
          <wp:inline distT="0" distB="0" distL="0" distR="0">
            <wp:extent cx="3825240" cy="3770630"/>
            <wp:effectExtent l="0" t="0" r="0" b="0"/>
            <wp:docPr id="1014" name="Picture 10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" name="Picture 101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5240" cy="377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72992">
        <w:t xml:space="preserve"> </w:t>
      </w:r>
    </w:p>
    <w:p w:rsidR="00045E79" w:rsidRPr="00C72992" w:rsidRDefault="002F2AE7" w:rsidP="00C72992">
      <w:pPr>
        <w:pStyle w:val="1"/>
        <w:spacing w:after="0" w:line="240" w:lineRule="auto"/>
        <w:ind w:left="0" w:firstLine="709"/>
      </w:pPr>
      <w:r w:rsidRPr="00C72992">
        <w:t xml:space="preserve">Рисунок 15 - Диаграмма газораспределения дизеля А – 41 </w:t>
      </w:r>
    </w:p>
    <w:sectPr w:rsidR="00045E79" w:rsidRPr="00C72992" w:rsidSect="00521F57">
      <w:footerReference w:type="even" r:id="rId14"/>
      <w:footerReference w:type="default" r:id="rId15"/>
      <w:footerReference w:type="first" r:id="rId16"/>
      <w:pgSz w:w="11906" w:h="16838"/>
      <w:pgMar w:top="1133" w:right="1128" w:bottom="1331" w:left="1985" w:header="720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266B" w:rsidRDefault="00EB266B">
      <w:pPr>
        <w:spacing w:after="0" w:line="240" w:lineRule="auto"/>
      </w:pPr>
      <w:r>
        <w:separator/>
      </w:r>
    </w:p>
  </w:endnote>
  <w:endnote w:type="continuationSeparator" w:id="0">
    <w:p w:rsidR="00EB266B" w:rsidRDefault="00EB26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5E79" w:rsidRDefault="002F2AE7">
    <w:pPr>
      <w:tabs>
        <w:tab w:val="center" w:pos="4395"/>
        <w:tab w:val="center" w:pos="8788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 w:rsidR="00521F57"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 w:rsidR="00521F57">
      <w:rPr>
        <w:rFonts w:ascii="Calibri" w:eastAsia="Calibri" w:hAnsi="Calibri" w:cs="Calibri"/>
        <w:sz w:val="22"/>
      </w:rPr>
      <w:fldChar w:fldCharType="separate"/>
    </w:r>
    <w:r w:rsidR="00EA4B29">
      <w:rPr>
        <w:rFonts w:ascii="Calibri" w:eastAsia="Calibri" w:hAnsi="Calibri" w:cs="Calibri"/>
        <w:noProof/>
        <w:sz w:val="22"/>
      </w:rPr>
      <w:t>8</w:t>
    </w:r>
    <w:r w:rsidR="00521F57"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  <w:t xml:space="preserve"> </w:t>
    </w:r>
  </w:p>
  <w:p w:rsidR="00045E79" w:rsidRDefault="002F2AE7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5E79" w:rsidRDefault="002F2AE7">
    <w:pPr>
      <w:tabs>
        <w:tab w:val="center" w:pos="4395"/>
        <w:tab w:val="center" w:pos="8788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 w:rsidR="00521F57"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 w:rsidR="00521F57">
      <w:rPr>
        <w:rFonts w:ascii="Calibri" w:eastAsia="Calibri" w:hAnsi="Calibri" w:cs="Calibri"/>
        <w:sz w:val="22"/>
      </w:rPr>
      <w:fldChar w:fldCharType="separate"/>
    </w:r>
    <w:r w:rsidR="00EA4B29">
      <w:rPr>
        <w:rFonts w:ascii="Calibri" w:eastAsia="Calibri" w:hAnsi="Calibri" w:cs="Calibri"/>
        <w:noProof/>
        <w:sz w:val="22"/>
      </w:rPr>
      <w:t>7</w:t>
    </w:r>
    <w:r w:rsidR="00521F57"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  <w:t xml:space="preserve"> </w:t>
    </w:r>
  </w:p>
  <w:p w:rsidR="00045E79" w:rsidRDefault="002F2AE7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5E79" w:rsidRDefault="002F2AE7">
    <w:pPr>
      <w:tabs>
        <w:tab w:val="center" w:pos="4395"/>
        <w:tab w:val="center" w:pos="8788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 w:rsidR="00521F57"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 w:rsidR="00521F57">
      <w:rPr>
        <w:rFonts w:ascii="Calibri" w:eastAsia="Calibri" w:hAnsi="Calibri" w:cs="Calibri"/>
        <w:sz w:val="22"/>
      </w:rPr>
      <w:fldChar w:fldCharType="separate"/>
    </w:r>
    <w:r>
      <w:rPr>
        <w:rFonts w:ascii="Calibri" w:eastAsia="Calibri" w:hAnsi="Calibri" w:cs="Calibri"/>
        <w:sz w:val="22"/>
      </w:rPr>
      <w:t>35</w:t>
    </w:r>
    <w:r w:rsidR="00521F57"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  <w:t xml:space="preserve"> </w:t>
    </w:r>
  </w:p>
  <w:p w:rsidR="00045E79" w:rsidRDefault="002F2AE7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266B" w:rsidRDefault="00EB266B">
      <w:pPr>
        <w:spacing w:after="0" w:line="240" w:lineRule="auto"/>
      </w:pPr>
      <w:r>
        <w:separator/>
      </w:r>
    </w:p>
  </w:footnote>
  <w:footnote w:type="continuationSeparator" w:id="0">
    <w:p w:rsidR="00EB266B" w:rsidRDefault="00EB26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45E79"/>
    <w:rsid w:val="00045E79"/>
    <w:rsid w:val="002F2AE7"/>
    <w:rsid w:val="00521F57"/>
    <w:rsid w:val="00C72992"/>
    <w:rsid w:val="00EA4B29"/>
    <w:rsid w:val="00EB26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F57"/>
    <w:pPr>
      <w:spacing w:after="5" w:line="254" w:lineRule="auto"/>
      <w:ind w:left="-1691" w:right="598" w:firstLine="556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qFormat/>
    <w:rsid w:val="00521F57"/>
    <w:pPr>
      <w:keepNext/>
      <w:keepLines/>
      <w:spacing w:after="3" w:line="268" w:lineRule="auto"/>
      <w:ind w:left="-1681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521F57"/>
    <w:rPr>
      <w:rFonts w:ascii="Times New Roman" w:eastAsia="Times New Roman" w:hAnsi="Times New Roman" w:cs="Times New Roman"/>
      <w:b/>
      <w:color w:val="000000"/>
      <w:sz w:val="28"/>
    </w:rPr>
  </w:style>
  <w:style w:type="paragraph" w:styleId="a3">
    <w:name w:val="Balloon Text"/>
    <w:basedOn w:val="a"/>
    <w:link w:val="a4"/>
    <w:uiPriority w:val="99"/>
    <w:semiHidden/>
    <w:unhideWhenUsed/>
    <w:rsid w:val="00EA4B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4B29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1581</Words>
  <Characters>9014</Characters>
  <Application>Microsoft Office Word</Application>
  <DocSecurity>0</DocSecurity>
  <Lines>75</Lines>
  <Paragraphs>21</Paragraphs>
  <ScaleCrop>false</ScaleCrop>
  <Company/>
  <LinksUpToDate>false</LinksUpToDate>
  <CharactersWithSpaces>10574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4</cp:revision>
  <dcterms:created xsi:type="dcterms:W3CDTF">2020-09-18T04:56:00Z</dcterms:created>
  <dcterms:modified xsi:type="dcterms:W3CDTF">2025-09-19T07:00:00Z</dcterms:modified>
</cp:coreProperties>
</file>